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FD" w:rsidRDefault="00C422FD" w:rsidP="00D7392F"/>
    <w:p w:rsidR="00D7392F" w:rsidRDefault="00D7392F" w:rsidP="00D7392F"/>
    <w:p w:rsidR="00D7392F" w:rsidRDefault="00D7392F" w:rsidP="00D7392F">
      <w:pPr>
        <w:rPr>
          <w:b/>
          <w:u w:val="single"/>
        </w:rPr>
      </w:pPr>
      <w:r w:rsidRPr="00800732">
        <w:rPr>
          <w:b/>
          <w:u w:val="single"/>
        </w:rPr>
        <w:t>Doplňkové údaje ke zpracování druhotných surovin</w:t>
      </w:r>
    </w:p>
    <w:p w:rsidR="00800732" w:rsidRPr="00800732" w:rsidRDefault="00800732" w:rsidP="00D7392F">
      <w:pPr>
        <w:rPr>
          <w:b/>
          <w:u w:val="single"/>
        </w:rPr>
      </w:pPr>
    </w:p>
    <w:p w:rsidR="00D7392F" w:rsidRPr="00D7392F" w:rsidRDefault="00D7392F" w:rsidP="00D7392F">
      <w:r w:rsidRPr="00D7392F">
        <w:t>1</w:t>
      </w:r>
      <w:r w:rsidRPr="00800732">
        <w:rPr>
          <w:u w:val="single"/>
        </w:rPr>
        <w:t xml:space="preserve">. Podle návrhu Ministerstva životního prostředí ČR z roku 2016 </w:t>
      </w:r>
      <w:r w:rsidRPr="00D7392F">
        <w:t xml:space="preserve">se mají poplatky za ukládání odpadů na skládkách postupně zvyšovat, a to až na 1000 Kč/t v roce 2023 za tzv. zbytkový odpad. Zatím není nikde přesně definováno, co zbytkový odpad je, ale lze předpokládat, že půjde právě o odpady, které již nelze nikterak </w:t>
      </w:r>
      <w:proofErr w:type="gramStart"/>
      <w:r w:rsidRPr="00D7392F">
        <w:t>využít jako</w:t>
      </w:r>
      <w:proofErr w:type="gramEnd"/>
      <w:r w:rsidRPr="00D7392F">
        <w:t xml:space="preserve"> jsou odpadní slévárenské písky, vyzdívky či strusky apod.</w:t>
      </w:r>
    </w:p>
    <w:p w:rsidR="00D7392F" w:rsidRPr="00D7392F" w:rsidRDefault="00D7392F" w:rsidP="00D7392F">
      <w:r w:rsidRPr="00D7392F">
        <w:t xml:space="preserve">2. </w:t>
      </w:r>
      <w:r w:rsidRPr="00800732">
        <w:rPr>
          <w:u w:val="single"/>
        </w:rPr>
        <w:t>Když se podíváme do veřejně přístupné databáze</w:t>
      </w:r>
      <w:r w:rsidRPr="00D7392F">
        <w:t xml:space="preserve"> o odpadovém hospodářství, které vede Ministerstvo životního prostředí na adrese </w:t>
      </w:r>
      <w:hyperlink r:id="rId5" w:history="1">
        <w:r w:rsidRPr="00D7392F">
          <w:rPr>
            <w:rStyle w:val="Hypertextovodkaz"/>
          </w:rPr>
          <w:t>https://isoh.mzp.cz/</w:t>
        </w:r>
      </w:hyperlink>
      <w:r w:rsidRPr="00D7392F">
        <w:t xml:space="preserve"> zjistíme, že v ČR je 180 zařízení pro ukládání odpadů (skládek odpadů), 622 zařízení označených jako drtící linky, 396 zařízení označených jako rekultivace/terénní úpravy nebo 680 zařízení s označením třídění odpadů. Tato čísla vypadají poměrně zajímavě, pokud bychom porovnávali stav skládek k jakému </w:t>
      </w:r>
      <w:proofErr w:type="gramStart"/>
      <w:r w:rsidRPr="00D7392F">
        <w:t>si</w:t>
      </w:r>
      <w:proofErr w:type="gramEnd"/>
      <w:r w:rsidRPr="00D7392F">
        <w:t xml:space="preserve"> druhu recyklace odpadu, ale když se podíváme, kolik zařízení se týká slévárenských odpadů, poměr mezi „recyklací“ a „skládkou“ se diametrálně změní. Po zvolení několika nejvíce produkovaných odpadů slévárnami či ocelárnami jako jsou odpadní písky (10 09 06 nebo 10 09 08), odpadní vyzdívky (16 11 04 nebo 16 11 06) nebo odpadní strusky (10 02 01 nebo 10 09 03), je situace nakloněna spíše na stranu skládkování.</w:t>
      </w:r>
    </w:p>
    <w:tbl>
      <w:tblPr>
        <w:tblW w:w="9297" w:type="dxa"/>
        <w:tblCellMar>
          <w:left w:w="0" w:type="dxa"/>
          <w:right w:w="0" w:type="dxa"/>
        </w:tblCellMar>
        <w:tblLook w:val="04A0" w:firstRow="1" w:lastRow="0" w:firstColumn="1" w:lastColumn="0" w:noHBand="0" w:noVBand="1"/>
      </w:tblPr>
      <w:tblGrid>
        <w:gridCol w:w="3057"/>
        <w:gridCol w:w="3046"/>
        <w:gridCol w:w="1660"/>
        <w:gridCol w:w="1534"/>
      </w:tblGrid>
      <w:tr w:rsidR="00D7392F" w:rsidRPr="00D7392F" w:rsidTr="00D7392F">
        <w:trPr>
          <w:trHeight w:val="165"/>
        </w:trPr>
        <w:tc>
          <w:tcPr>
            <w:tcW w:w="30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Vybraná zařízení v ČR</w:t>
            </w:r>
          </w:p>
        </w:tc>
        <w:tc>
          <w:tcPr>
            <w:tcW w:w="30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Všechny odpady</w:t>
            </w:r>
          </w:p>
        </w:tc>
        <w:tc>
          <w:tcPr>
            <w:tcW w:w="31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Vybrané odpady</w:t>
            </w:r>
          </w:p>
        </w:tc>
      </w:tr>
      <w:tr w:rsidR="00D7392F" w:rsidRPr="00D7392F" w:rsidTr="00D7392F">
        <w:trPr>
          <w:trHeight w:val="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392F" w:rsidRPr="00D7392F" w:rsidRDefault="00D7392F" w:rsidP="00D7392F">
            <w:pPr>
              <w:rPr>
                <w:b/>
                <w:bCs/>
              </w:rPr>
            </w:pPr>
          </w:p>
        </w:tc>
        <w:tc>
          <w:tcPr>
            <w:tcW w:w="0" w:type="auto"/>
            <w:vMerge/>
            <w:tcBorders>
              <w:top w:val="single" w:sz="8" w:space="0" w:color="auto"/>
              <w:left w:val="nil"/>
              <w:bottom w:val="single" w:sz="8" w:space="0" w:color="auto"/>
              <w:right w:val="single" w:sz="8" w:space="0" w:color="auto"/>
            </w:tcBorders>
            <w:vAlign w:val="center"/>
            <w:hideMark/>
          </w:tcPr>
          <w:p w:rsidR="00D7392F" w:rsidRPr="00D7392F" w:rsidRDefault="00D7392F" w:rsidP="00D7392F">
            <w:pPr>
              <w:rPr>
                <w:b/>
                <w:bCs/>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Všechna zařízení</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Stacionární zařízení</w:t>
            </w:r>
          </w:p>
        </w:tc>
      </w:tr>
      <w:tr w:rsidR="00D7392F" w:rsidRPr="00D7392F" w:rsidTr="00D7392F">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Skládka</w:t>
            </w:r>
          </w:p>
        </w:tc>
        <w:tc>
          <w:tcPr>
            <w:tcW w:w="3046"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180</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142</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142</w:t>
            </w:r>
          </w:p>
        </w:tc>
      </w:tr>
      <w:tr w:rsidR="00D7392F" w:rsidRPr="00D7392F" w:rsidTr="00D7392F">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Drtící linka</w:t>
            </w:r>
          </w:p>
        </w:tc>
        <w:tc>
          <w:tcPr>
            <w:tcW w:w="3046"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622</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106</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66</w:t>
            </w:r>
          </w:p>
        </w:tc>
      </w:tr>
      <w:tr w:rsidR="00D7392F" w:rsidRPr="00D7392F" w:rsidTr="00D7392F">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Rekultivace/terénní úpravy</w:t>
            </w:r>
          </w:p>
        </w:tc>
        <w:tc>
          <w:tcPr>
            <w:tcW w:w="3046"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396</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72</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72</w:t>
            </w:r>
          </w:p>
        </w:tc>
      </w:tr>
      <w:tr w:rsidR="00D7392F" w:rsidRPr="00D7392F" w:rsidTr="00D7392F">
        <w:trPr>
          <w:trHeight w:val="117"/>
        </w:trPr>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Třídící linka</w:t>
            </w:r>
          </w:p>
        </w:tc>
        <w:tc>
          <w:tcPr>
            <w:tcW w:w="3046"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680</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174</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148</w:t>
            </w:r>
          </w:p>
        </w:tc>
      </w:tr>
      <w:tr w:rsidR="00D7392F" w:rsidRPr="00D7392F" w:rsidTr="00D7392F">
        <w:trPr>
          <w:trHeight w:val="225"/>
        </w:trPr>
        <w:tc>
          <w:tcPr>
            <w:tcW w:w="3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pPr>
              <w:rPr>
                <w:b/>
                <w:bCs/>
              </w:rPr>
            </w:pPr>
            <w:r w:rsidRPr="00D7392F">
              <w:rPr>
                <w:b/>
                <w:bCs/>
              </w:rPr>
              <w:t>Celkem</w:t>
            </w:r>
          </w:p>
        </w:tc>
        <w:tc>
          <w:tcPr>
            <w:tcW w:w="3046"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1878</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494</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D7392F" w:rsidRPr="00D7392F" w:rsidRDefault="00D7392F" w:rsidP="00D7392F">
            <w:r w:rsidRPr="00D7392F">
              <w:t>428</w:t>
            </w:r>
          </w:p>
        </w:tc>
      </w:tr>
    </w:tbl>
    <w:p w:rsidR="00D7392F" w:rsidRPr="00D7392F" w:rsidRDefault="00D7392F" w:rsidP="00D7392F">
      <w:r w:rsidRPr="00D7392F">
        <w:t xml:space="preserve">Z celkového poměru 180 skládek na 1698 zařízením jakéhosi recyklačního druhu, se u vybraných slévárenských a ocelárenských odpadů dostáváme z původního poměru 1:9,5 na poměr 1:2,5 (142 </w:t>
      </w:r>
      <w:proofErr w:type="gramStart"/>
      <w:r w:rsidRPr="00D7392F">
        <w:t>skládek : 352</w:t>
      </w:r>
      <w:proofErr w:type="gramEnd"/>
      <w:r w:rsidRPr="00D7392F">
        <w:t xml:space="preserve"> „recyklačních“ stacionárních zařízení). Z těchto „recyklačních“ zařízení bychom poté mohli ještě odebrat například ne zcela zohledněné údaje, jako jsou rekultivační či terénní úpravy spojené s technologickým zabezpečením skládek, ale takto daleko již zacházet nebudeme.</w:t>
      </w:r>
    </w:p>
    <w:p w:rsidR="00D7392F" w:rsidRPr="00D7392F" w:rsidRDefault="00D7392F" w:rsidP="00D7392F">
      <w:r w:rsidRPr="00D7392F">
        <w:t xml:space="preserve">3. </w:t>
      </w:r>
      <w:r w:rsidRPr="00800732">
        <w:rPr>
          <w:u w:val="single"/>
        </w:rPr>
        <w:t>V ČR je dle databáze Ministerstva financí</w:t>
      </w:r>
      <w:r w:rsidRPr="00D7392F">
        <w:t xml:space="preserve"> na adrese </w:t>
      </w:r>
      <w:hyperlink r:id="rId6" w:history="1">
        <w:r w:rsidRPr="00D7392F">
          <w:rPr>
            <w:rStyle w:val="Hypertextovodkaz"/>
          </w:rPr>
          <w:t>http://wwwinfo.mfcr.cz/ares/</w:t>
        </w:r>
      </w:hyperlink>
      <w:r w:rsidRPr="00D7392F">
        <w:t xml:space="preserve"> 1221 aktivních (ne v likvidaci) subjektů s registrací v oblasti výrobků odlitků z litiny, oceli a neželezných kovů. Pokud bychom vytřídili subjekty velkého typu jako je s.r.o., a.s. apod., můžeme říci, že v ČR je 530 větších sléváren a oceláren. V absolutních číslech se tak každá slévárna a ocelárna může obrátit na necelé 1 zařízení, které umí zpracovat odpadní písky, vyzdívky či strusky. Postupem času </w:t>
      </w:r>
      <w:proofErr w:type="gramStart"/>
      <w:r w:rsidRPr="00D7392F">
        <w:t>se</w:t>
      </w:r>
      <w:proofErr w:type="gramEnd"/>
      <w:r w:rsidRPr="00D7392F">
        <w:t xml:space="preserve"> však bude počet skládek snižovat, čímž se bude snižovat i počet zařízení, kam lze vybrané odpady předávat a zda budou „recyklační“ zařízení přibývat, není jisté.</w:t>
      </w:r>
    </w:p>
    <w:p w:rsidR="00D7392F" w:rsidRPr="00D7392F" w:rsidRDefault="00D7392F" w:rsidP="00D7392F">
      <w:r w:rsidRPr="00800732">
        <w:rPr>
          <w:u w:val="single"/>
        </w:rPr>
        <w:t>V souhrnu tři výše uvedené body znamenají, že cena</w:t>
      </w:r>
      <w:r w:rsidRPr="00D7392F">
        <w:t xml:space="preserve"> za zpracování odpadu se bude zvyšovat a počet zařízení, kam lze odpad předávat naopak snižovat. Pokud bude tedy slévárna či ocelárna přemýšlet o budoucím rozvoji nebo obecně plánovat fungování společnosti na několik let dopředu, měla by zohlednit i tento stav v oblasti odpadů.</w:t>
      </w:r>
    </w:p>
    <w:tbl>
      <w:tblPr>
        <w:tblW w:w="9750" w:type="dxa"/>
        <w:tblCellSpacing w:w="0" w:type="dxa"/>
        <w:tblCellMar>
          <w:left w:w="0" w:type="dxa"/>
          <w:right w:w="0" w:type="dxa"/>
        </w:tblCellMar>
        <w:tblLook w:val="04A0" w:firstRow="1" w:lastRow="0" w:firstColumn="1" w:lastColumn="0" w:noHBand="0" w:noVBand="1"/>
      </w:tblPr>
      <w:tblGrid>
        <w:gridCol w:w="2340"/>
        <w:gridCol w:w="2130"/>
        <w:gridCol w:w="2940"/>
        <w:gridCol w:w="1869"/>
        <w:gridCol w:w="471"/>
      </w:tblGrid>
      <w:tr w:rsidR="00D7392F" w:rsidRPr="00D7392F" w:rsidTr="00D7392F">
        <w:trPr>
          <w:trHeight w:val="120"/>
          <w:tblCellSpacing w:w="0" w:type="dxa"/>
        </w:trPr>
        <w:tc>
          <w:tcPr>
            <w:tcW w:w="0" w:type="auto"/>
            <w:gridSpan w:val="5"/>
            <w:vAlign w:val="center"/>
            <w:hideMark/>
          </w:tcPr>
          <w:p w:rsidR="00D7392F" w:rsidRPr="00D7392F" w:rsidRDefault="00D7392F" w:rsidP="00D7392F">
            <w:r w:rsidRPr="00D7392F">
              <w:rPr>
                <w:b/>
                <w:bCs/>
              </w:rPr>
              <w:t>Ing. Martin Pytloun</w:t>
            </w:r>
            <w:r w:rsidRPr="00D7392F">
              <w:t xml:space="preserve">   obchodní </w:t>
            </w:r>
            <w:proofErr w:type="gramStart"/>
            <w:r w:rsidRPr="00D7392F">
              <w:t xml:space="preserve">zástupce </w:t>
            </w:r>
            <w:r w:rsidR="00BB244B">
              <w:t>,</w:t>
            </w:r>
            <w:proofErr w:type="gramEnd"/>
          </w:p>
        </w:tc>
      </w:tr>
      <w:tr w:rsidR="00D7392F" w:rsidRPr="00D7392F" w:rsidTr="00BB244B">
        <w:trPr>
          <w:tblCellSpacing w:w="0" w:type="dxa"/>
        </w:trPr>
        <w:tc>
          <w:tcPr>
            <w:tcW w:w="0" w:type="auto"/>
            <w:vAlign w:val="center"/>
            <w:hideMark/>
          </w:tcPr>
          <w:tbl>
            <w:tblPr>
              <w:tblW w:w="2340" w:type="dxa"/>
              <w:tblCellSpacing w:w="0" w:type="dxa"/>
              <w:tblCellMar>
                <w:left w:w="0" w:type="dxa"/>
                <w:right w:w="0" w:type="dxa"/>
              </w:tblCellMar>
              <w:tblLook w:val="04A0" w:firstRow="1" w:lastRow="0" w:firstColumn="1" w:lastColumn="0" w:noHBand="0" w:noVBand="1"/>
            </w:tblPr>
            <w:tblGrid>
              <w:gridCol w:w="422"/>
              <w:gridCol w:w="1918"/>
            </w:tblGrid>
            <w:tr w:rsidR="00D7392F" w:rsidRPr="00D7392F">
              <w:trPr>
                <w:tblCellSpacing w:w="0" w:type="dxa"/>
              </w:trPr>
              <w:tc>
                <w:tcPr>
                  <w:tcW w:w="150" w:type="dxa"/>
                  <w:tcMar>
                    <w:top w:w="0" w:type="dxa"/>
                    <w:left w:w="210" w:type="dxa"/>
                    <w:bottom w:w="0" w:type="dxa"/>
                    <w:right w:w="180" w:type="dxa"/>
                  </w:tcMar>
                  <w:vAlign w:val="center"/>
                  <w:hideMark/>
                </w:tcPr>
                <w:p w:rsidR="00D7392F" w:rsidRPr="00D7392F" w:rsidRDefault="00D7392F" w:rsidP="00D7392F">
                  <w:bookmarkStart w:id="0" w:name="_GoBack"/>
                  <w:bookmarkEnd w:id="0"/>
                </w:p>
              </w:tc>
              <w:tc>
                <w:tcPr>
                  <w:tcW w:w="1800" w:type="dxa"/>
                  <w:vAlign w:val="center"/>
                  <w:hideMark/>
                </w:tcPr>
                <w:p w:rsidR="00D7392F" w:rsidRPr="00D7392F" w:rsidRDefault="00D7392F" w:rsidP="00D7392F">
                  <w:pPr>
                    <w:rPr>
                      <w:b/>
                      <w:bCs/>
                    </w:rPr>
                  </w:pPr>
                  <w:r w:rsidRPr="00D7392F">
                    <w:rPr>
                      <w:b/>
                      <w:bCs/>
                    </w:rPr>
                    <w:t>+420 602 508 711</w:t>
                  </w:r>
                </w:p>
              </w:tc>
            </w:tr>
          </w:tbl>
          <w:p w:rsidR="00D7392F" w:rsidRPr="00D7392F" w:rsidRDefault="00D7392F" w:rsidP="00D7392F"/>
        </w:tc>
        <w:tc>
          <w:tcPr>
            <w:tcW w:w="0" w:type="auto"/>
            <w:vAlign w:val="center"/>
            <w:hideMark/>
          </w:tcPr>
          <w:tbl>
            <w:tblPr>
              <w:tblW w:w="2130" w:type="dxa"/>
              <w:tblCellSpacing w:w="0" w:type="dxa"/>
              <w:tblCellMar>
                <w:left w:w="0" w:type="dxa"/>
                <w:right w:w="0" w:type="dxa"/>
              </w:tblCellMar>
              <w:tblLook w:val="04A0" w:firstRow="1" w:lastRow="0" w:firstColumn="1" w:lastColumn="0" w:noHBand="0" w:noVBand="1"/>
            </w:tblPr>
            <w:tblGrid>
              <w:gridCol w:w="287"/>
              <w:gridCol w:w="1843"/>
            </w:tblGrid>
            <w:tr w:rsidR="00D7392F" w:rsidRPr="00D7392F">
              <w:trPr>
                <w:tblCellSpacing w:w="0" w:type="dxa"/>
              </w:trPr>
              <w:tc>
                <w:tcPr>
                  <w:tcW w:w="150" w:type="dxa"/>
                  <w:tcMar>
                    <w:top w:w="0" w:type="dxa"/>
                    <w:left w:w="0" w:type="dxa"/>
                    <w:bottom w:w="0" w:type="dxa"/>
                    <w:right w:w="180" w:type="dxa"/>
                  </w:tcMar>
                  <w:vAlign w:val="center"/>
                  <w:hideMark/>
                </w:tcPr>
                <w:p w:rsidR="00D7392F" w:rsidRPr="00D7392F" w:rsidRDefault="00D7392F" w:rsidP="00D7392F">
                  <w:r w:rsidRPr="00D7392F">
                    <w:drawing>
                      <wp:inline distT="0" distB="0" distL="0" distR="0" wp14:anchorId="499BFB2B" wp14:editId="7FFF7822">
                        <wp:extent cx="63500" cy="69850"/>
                        <wp:effectExtent l="0" t="0" r="0" b="6350"/>
                        <wp:docPr id="3" name="Obrázek 3" descr="cid:image001.jpg@01D45A5E.8CDC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5A5E.8CDC71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0" cy="69850"/>
                                </a:xfrm>
                                <a:prstGeom prst="rect">
                                  <a:avLst/>
                                </a:prstGeom>
                                <a:noFill/>
                                <a:ln>
                                  <a:noFill/>
                                </a:ln>
                              </pic:spPr>
                            </pic:pic>
                          </a:graphicData>
                        </a:graphic>
                      </wp:inline>
                    </w:drawing>
                  </w:r>
                </w:p>
              </w:tc>
              <w:tc>
                <w:tcPr>
                  <w:tcW w:w="1800" w:type="dxa"/>
                  <w:vAlign w:val="center"/>
                  <w:hideMark/>
                </w:tcPr>
                <w:p w:rsidR="00D7392F" w:rsidRPr="00D7392F" w:rsidRDefault="00D7392F" w:rsidP="00D7392F">
                  <w:pPr>
                    <w:rPr>
                      <w:b/>
                      <w:bCs/>
                    </w:rPr>
                  </w:pPr>
                  <w:r w:rsidRPr="00D7392F">
                    <w:rPr>
                      <w:b/>
                      <w:bCs/>
                    </w:rPr>
                    <w:t>+420 311 234 814</w:t>
                  </w:r>
                </w:p>
              </w:tc>
            </w:tr>
          </w:tbl>
          <w:p w:rsidR="00D7392F" w:rsidRPr="00D7392F" w:rsidRDefault="00D7392F" w:rsidP="00D7392F"/>
        </w:tc>
        <w:tc>
          <w:tcPr>
            <w:tcW w:w="0" w:type="auto"/>
            <w:vAlign w:val="center"/>
            <w:hideMark/>
          </w:tcPr>
          <w:tbl>
            <w:tblPr>
              <w:tblW w:w="2940" w:type="dxa"/>
              <w:tblCellSpacing w:w="0" w:type="dxa"/>
              <w:tblCellMar>
                <w:left w:w="0" w:type="dxa"/>
                <w:right w:w="0" w:type="dxa"/>
              </w:tblCellMar>
              <w:tblLook w:val="04A0" w:firstRow="1" w:lastRow="0" w:firstColumn="1" w:lastColumn="0" w:noHBand="0" w:noVBand="1"/>
            </w:tblPr>
            <w:tblGrid>
              <w:gridCol w:w="497"/>
              <w:gridCol w:w="2443"/>
            </w:tblGrid>
            <w:tr w:rsidR="00D7392F" w:rsidRPr="00D7392F">
              <w:trPr>
                <w:tblCellSpacing w:w="0" w:type="dxa"/>
              </w:trPr>
              <w:tc>
                <w:tcPr>
                  <w:tcW w:w="150" w:type="dxa"/>
                  <w:tcMar>
                    <w:top w:w="0" w:type="dxa"/>
                    <w:left w:w="210" w:type="dxa"/>
                    <w:bottom w:w="0" w:type="dxa"/>
                    <w:right w:w="180" w:type="dxa"/>
                  </w:tcMar>
                  <w:vAlign w:val="center"/>
                  <w:hideMark/>
                </w:tcPr>
                <w:p w:rsidR="00D7392F" w:rsidRPr="00D7392F" w:rsidRDefault="00D7392F" w:rsidP="00D7392F">
                  <w:r w:rsidRPr="00D7392F">
                    <w:drawing>
                      <wp:inline distT="0" distB="0" distL="0" distR="0" wp14:anchorId="06B0B68D" wp14:editId="4457FEFD">
                        <wp:extent cx="63500" cy="69850"/>
                        <wp:effectExtent l="0" t="0" r="0" b="6350"/>
                        <wp:docPr id="2" name="Obrázek 2" descr="cid:image001.jpg@01D45A5E.8CDC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5A5E.8CDC71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0" cy="69850"/>
                                </a:xfrm>
                                <a:prstGeom prst="rect">
                                  <a:avLst/>
                                </a:prstGeom>
                                <a:noFill/>
                                <a:ln>
                                  <a:noFill/>
                                </a:ln>
                              </pic:spPr>
                            </pic:pic>
                          </a:graphicData>
                        </a:graphic>
                      </wp:inline>
                    </w:drawing>
                  </w:r>
                </w:p>
              </w:tc>
              <w:tc>
                <w:tcPr>
                  <w:tcW w:w="2400" w:type="dxa"/>
                  <w:vAlign w:val="center"/>
                  <w:hideMark/>
                </w:tcPr>
                <w:p w:rsidR="00D7392F" w:rsidRPr="00D7392F" w:rsidRDefault="00D7392F" w:rsidP="00D7392F">
                  <w:pPr>
                    <w:rPr>
                      <w:b/>
                      <w:bCs/>
                    </w:rPr>
                  </w:pPr>
                  <w:hyperlink r:id="rId9" w:history="1">
                    <w:r w:rsidRPr="00D7392F">
                      <w:rPr>
                        <w:rStyle w:val="Hypertextovodkaz"/>
                        <w:b/>
                        <w:bCs/>
                      </w:rPr>
                      <w:t xml:space="preserve">martin.pytloun@destro.cz </w:t>
                    </w:r>
                  </w:hyperlink>
                </w:p>
              </w:tc>
            </w:tr>
          </w:tbl>
          <w:p w:rsidR="00D7392F" w:rsidRPr="00D7392F" w:rsidRDefault="00D7392F" w:rsidP="00D7392F"/>
        </w:tc>
        <w:tc>
          <w:tcPr>
            <w:tcW w:w="0" w:type="auto"/>
            <w:vAlign w:val="center"/>
            <w:hideMark/>
          </w:tcPr>
          <w:tbl>
            <w:tblPr>
              <w:tblW w:w="1740" w:type="dxa"/>
              <w:tblCellSpacing w:w="0" w:type="dxa"/>
              <w:tblCellMar>
                <w:left w:w="0" w:type="dxa"/>
                <w:right w:w="0" w:type="dxa"/>
              </w:tblCellMar>
              <w:tblLook w:val="04A0" w:firstRow="1" w:lastRow="0" w:firstColumn="1" w:lastColumn="0" w:noHBand="0" w:noVBand="1"/>
            </w:tblPr>
            <w:tblGrid>
              <w:gridCol w:w="490"/>
              <w:gridCol w:w="1379"/>
            </w:tblGrid>
            <w:tr w:rsidR="00D7392F" w:rsidRPr="00D7392F">
              <w:trPr>
                <w:tblCellSpacing w:w="0" w:type="dxa"/>
              </w:trPr>
              <w:tc>
                <w:tcPr>
                  <w:tcW w:w="150" w:type="dxa"/>
                  <w:tcMar>
                    <w:top w:w="0" w:type="dxa"/>
                    <w:left w:w="210" w:type="dxa"/>
                    <w:bottom w:w="0" w:type="dxa"/>
                    <w:right w:w="180" w:type="dxa"/>
                  </w:tcMar>
                  <w:vAlign w:val="center"/>
                  <w:hideMark/>
                </w:tcPr>
                <w:p w:rsidR="00D7392F" w:rsidRPr="00D7392F" w:rsidRDefault="00D7392F" w:rsidP="00D7392F">
                  <w:r w:rsidRPr="00D7392F">
                    <w:drawing>
                      <wp:inline distT="0" distB="0" distL="0" distR="0" wp14:anchorId="7EDDF97C" wp14:editId="24B9187D">
                        <wp:extent cx="63500" cy="69850"/>
                        <wp:effectExtent l="0" t="0" r="0" b="6350"/>
                        <wp:docPr id="1" name="Obrázek 1" descr="cid:image001.jpg@01D45A5E.8CDC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45A5E.8CDC71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0" cy="69850"/>
                                </a:xfrm>
                                <a:prstGeom prst="rect">
                                  <a:avLst/>
                                </a:prstGeom>
                                <a:noFill/>
                                <a:ln>
                                  <a:noFill/>
                                </a:ln>
                              </pic:spPr>
                            </pic:pic>
                          </a:graphicData>
                        </a:graphic>
                      </wp:inline>
                    </w:drawing>
                  </w:r>
                </w:p>
              </w:tc>
              <w:tc>
                <w:tcPr>
                  <w:tcW w:w="1200" w:type="dxa"/>
                  <w:vAlign w:val="center"/>
                  <w:hideMark/>
                </w:tcPr>
                <w:p w:rsidR="00D7392F" w:rsidRPr="00D7392F" w:rsidRDefault="00D7392F" w:rsidP="00D7392F">
                  <w:pPr>
                    <w:rPr>
                      <w:b/>
                      <w:bCs/>
                    </w:rPr>
                  </w:pPr>
                  <w:hyperlink r:id="rId10" w:history="1">
                    <w:r w:rsidRPr="00D7392F">
                      <w:rPr>
                        <w:rStyle w:val="Hypertextovodkaz"/>
                        <w:b/>
                        <w:bCs/>
                      </w:rPr>
                      <w:t>www.destro.cz</w:t>
                    </w:r>
                  </w:hyperlink>
                </w:p>
              </w:tc>
            </w:tr>
          </w:tbl>
          <w:p w:rsidR="00D7392F" w:rsidRPr="00D7392F" w:rsidRDefault="00D7392F" w:rsidP="00D7392F"/>
        </w:tc>
        <w:tc>
          <w:tcPr>
            <w:tcW w:w="242" w:type="pct"/>
            <w:vAlign w:val="center"/>
            <w:hideMark/>
          </w:tcPr>
          <w:p w:rsidR="00D7392F" w:rsidRPr="00D7392F" w:rsidRDefault="00D7392F" w:rsidP="00D7392F"/>
        </w:tc>
      </w:tr>
    </w:tbl>
    <w:p w:rsidR="00D7392F" w:rsidRPr="00D7392F" w:rsidRDefault="00D7392F" w:rsidP="00D7392F"/>
    <w:sectPr w:rsidR="00D7392F" w:rsidRPr="00D73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2F"/>
    <w:rsid w:val="000A6E32"/>
    <w:rsid w:val="00147462"/>
    <w:rsid w:val="00800732"/>
    <w:rsid w:val="00BB244B"/>
    <w:rsid w:val="00C422FD"/>
    <w:rsid w:val="00D73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392F"/>
    <w:rPr>
      <w:color w:val="0000FF" w:themeColor="hyperlink"/>
      <w:u w:val="single"/>
    </w:rPr>
  </w:style>
  <w:style w:type="paragraph" w:styleId="Textbubliny">
    <w:name w:val="Balloon Text"/>
    <w:basedOn w:val="Normln"/>
    <w:link w:val="TextbublinyChar"/>
    <w:uiPriority w:val="99"/>
    <w:semiHidden/>
    <w:unhideWhenUsed/>
    <w:rsid w:val="00D7392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392F"/>
    <w:rPr>
      <w:color w:val="0000FF" w:themeColor="hyperlink"/>
      <w:u w:val="single"/>
    </w:rPr>
  </w:style>
  <w:style w:type="paragraph" w:styleId="Textbubliny">
    <w:name w:val="Balloon Text"/>
    <w:basedOn w:val="Normln"/>
    <w:link w:val="TextbublinyChar"/>
    <w:uiPriority w:val="99"/>
    <w:semiHidden/>
    <w:unhideWhenUsed/>
    <w:rsid w:val="00D7392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5A5E.8CDC71F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mfcr.cz/ares/" TargetMode="External"/><Relationship Id="rId11" Type="http://schemas.openxmlformats.org/officeDocument/2006/relationships/fontTable" Target="fontTable.xml"/><Relationship Id="rId5" Type="http://schemas.openxmlformats.org/officeDocument/2006/relationships/hyperlink" Target="https://isoh.mzp.cz/" TargetMode="External"/><Relationship Id="rId10" Type="http://schemas.openxmlformats.org/officeDocument/2006/relationships/hyperlink" Target="http://www.destro.cz" TargetMode="External"/><Relationship Id="rId4" Type="http://schemas.openxmlformats.org/officeDocument/2006/relationships/webSettings" Target="webSettings.xml"/><Relationship Id="rId9" Type="http://schemas.openxmlformats.org/officeDocument/2006/relationships/hyperlink" Target="mailto:martin.pytloun@dest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476</Words>
  <Characters>2814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VK</cp:lastModifiedBy>
  <cp:revision>5</cp:revision>
  <dcterms:created xsi:type="dcterms:W3CDTF">2018-10-02T12:46:00Z</dcterms:created>
  <dcterms:modified xsi:type="dcterms:W3CDTF">2018-10-02T13:00:00Z</dcterms:modified>
</cp:coreProperties>
</file>