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50F" w:rsidRPr="00C7550F" w:rsidRDefault="00C7550F" w:rsidP="00C7550F">
      <w:pPr>
        <w:spacing w:before="60" w:after="72" w:line="240" w:lineRule="auto"/>
        <w:ind w:right="-1200"/>
        <w:outlineLvl w:val="1"/>
        <w:rPr>
          <w:rFonts w:ascii="Georgia" w:eastAsia="Times New Roman" w:hAnsi="Georgia" w:cs="Times New Roman"/>
          <w:b/>
          <w:bCs/>
          <w:color w:val="111111"/>
          <w:spacing w:val="1"/>
          <w:sz w:val="40"/>
          <w:szCs w:val="40"/>
          <w:lang w:eastAsia="cs-CZ"/>
        </w:rPr>
      </w:pPr>
      <w:r w:rsidRPr="00C7550F">
        <w:rPr>
          <w:rFonts w:ascii="Georgia" w:eastAsia="Times New Roman" w:hAnsi="Georgia" w:cs="Times New Roman"/>
          <w:b/>
          <w:bCs/>
          <w:color w:val="111111"/>
          <w:spacing w:val="1"/>
          <w:sz w:val="40"/>
          <w:szCs w:val="40"/>
          <w:shd w:val="clear" w:color="auto" w:fill="FFFFFF"/>
          <w:lang w:eastAsia="cs-CZ"/>
        </w:rPr>
        <w:t>Jak se čínská ekonomika dostala do problémů?</w:t>
      </w:r>
    </w:p>
    <w:p w:rsidR="00C7550F" w:rsidRPr="00C7550F" w:rsidRDefault="00C7550F" w:rsidP="00C7550F">
      <w:pPr>
        <w:spacing w:after="0" w:line="240" w:lineRule="auto"/>
        <w:rPr>
          <w:rFonts w:ascii="Helvetica" w:eastAsia="Times New Roman" w:hAnsi="Helvetica" w:cs="Times New Roman"/>
          <w:color w:val="111111"/>
          <w:sz w:val="24"/>
          <w:szCs w:val="24"/>
          <w:lang w:eastAsia="cs-CZ"/>
        </w:rPr>
      </w:pPr>
      <w:r w:rsidRPr="00C7550F">
        <w:rPr>
          <w:rFonts w:ascii="Helvetica" w:eastAsia="Times New Roman" w:hAnsi="Helvetica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914400" cy="914400"/>
            <wp:effectExtent l="0" t="0" r="0" b="0"/>
            <wp:docPr id="4" name="Obrázek 4" descr="https://snappycdn.net/forbes-prod/Fuc_8KZPfHJ2s-Ykl9JFkV23JRAbWV4Wc5V41p9V-Z4/fill/96/96/ce/1/aHR0cHM6Ly9tZ3dkYXRhLm5ldC9mb3JiZXMvcHJvZC91cGxvYWRzLzIwMTgvMTIvbTdxZHNrX2phbi1idXJlcy5qcGc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nappycdn.net/forbes-prod/Fuc_8KZPfHJ2s-Ykl9JFkV23JRAbWV4Wc5V41p9V-Z4/fill/96/96/ce/1/aHR0cHM6Ly9tZ3dkYXRhLm5ldC9mb3JiZXMvcHJvZC91cGxvYWRzLzIwMTgvMTIvbTdxZHNrX2phbi1idXJlcy5qcGc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50F" w:rsidRPr="00C7550F" w:rsidRDefault="00C7550F" w:rsidP="00C7550F">
      <w:pPr>
        <w:spacing w:after="0" w:line="240" w:lineRule="auto"/>
        <w:rPr>
          <w:rFonts w:ascii="Helvetica" w:eastAsia="Times New Roman" w:hAnsi="Helvetica" w:cs="Times New Roman"/>
          <w:i/>
          <w:iCs/>
          <w:color w:val="818181"/>
          <w:sz w:val="18"/>
          <w:szCs w:val="18"/>
          <w:lang w:eastAsia="cs-CZ"/>
        </w:rPr>
      </w:pPr>
      <w:r w:rsidRPr="00C7550F">
        <w:rPr>
          <w:rFonts w:ascii="Helvetica" w:eastAsia="Times New Roman" w:hAnsi="Helvetica" w:cs="Times New Roman"/>
          <w:i/>
          <w:iCs/>
          <w:color w:val="818181"/>
          <w:sz w:val="18"/>
          <w:szCs w:val="18"/>
          <w:lang w:eastAsia="cs-CZ"/>
        </w:rPr>
        <w:t>Autor</w:t>
      </w:r>
    </w:p>
    <w:p w:rsidR="00C7550F" w:rsidRPr="00C7550F" w:rsidRDefault="00910DA1" w:rsidP="00C7550F">
      <w:pPr>
        <w:spacing w:after="0" w:line="240" w:lineRule="auto"/>
        <w:ind w:left="720"/>
        <w:rPr>
          <w:rFonts w:ascii="Helvetica" w:eastAsia="Times New Roman" w:hAnsi="Helvetica" w:cs="Times New Roman"/>
          <w:color w:val="111111"/>
          <w:sz w:val="27"/>
          <w:szCs w:val="27"/>
          <w:lang w:eastAsia="cs-CZ"/>
        </w:rPr>
      </w:pPr>
      <w:hyperlink r:id="rId6" w:history="1">
        <w:r w:rsidR="00C7550F" w:rsidRPr="00C7550F">
          <w:rPr>
            <w:rFonts w:ascii="Helvetica" w:eastAsia="Times New Roman" w:hAnsi="Helvetica" w:cs="Times New Roman"/>
            <w:color w:val="0000FF"/>
            <w:sz w:val="27"/>
            <w:szCs w:val="27"/>
            <w:u w:val="single"/>
            <w:lang w:eastAsia="cs-CZ"/>
          </w:rPr>
          <w:t>Jan Bureš</w:t>
        </w:r>
      </w:hyperlink>
    </w:p>
    <w:p w:rsidR="00C7550F" w:rsidRPr="00C7550F" w:rsidRDefault="00910DA1" w:rsidP="00C7550F">
      <w:pPr>
        <w:spacing w:after="72" w:line="240" w:lineRule="auto"/>
        <w:rPr>
          <w:rFonts w:ascii="Helvetica" w:eastAsia="Times New Roman" w:hAnsi="Helvetica" w:cs="Times New Roman"/>
          <w:color w:val="111111"/>
          <w:sz w:val="24"/>
          <w:szCs w:val="24"/>
          <w:lang w:eastAsia="cs-CZ"/>
        </w:rPr>
      </w:pPr>
      <w:hyperlink r:id="rId7" w:history="1">
        <w:r w:rsidR="00C7550F" w:rsidRPr="00C7550F">
          <w:rPr>
            <w:rFonts w:ascii="Helvetica" w:eastAsia="Times New Roman" w:hAnsi="Helvetica" w:cs="Times New Roman"/>
            <w:b/>
            <w:bCs/>
            <w:caps/>
            <w:color w:val="EBA700"/>
            <w:spacing w:val="12"/>
            <w:sz w:val="18"/>
            <w:szCs w:val="18"/>
            <w:u w:val="single"/>
            <w:lang w:eastAsia="cs-CZ"/>
          </w:rPr>
          <w:t>ANALÝZA</w:t>
        </w:r>
      </w:hyperlink>
    </w:p>
    <w:p w:rsidR="00C7550F" w:rsidRPr="00C7550F" w:rsidRDefault="00910DA1" w:rsidP="00C7550F">
      <w:pPr>
        <w:spacing w:after="144" w:line="240" w:lineRule="auto"/>
        <w:rPr>
          <w:rFonts w:ascii="Helvetica" w:eastAsia="Times New Roman" w:hAnsi="Helvetica" w:cs="Times New Roman"/>
          <w:color w:val="111111"/>
          <w:sz w:val="24"/>
          <w:szCs w:val="24"/>
          <w:lang w:eastAsia="cs-CZ"/>
        </w:rPr>
      </w:pPr>
      <w:hyperlink r:id="rId8" w:history="1">
        <w:r w:rsidR="00C7550F" w:rsidRPr="00C7550F">
          <w:rPr>
            <w:rFonts w:ascii="Helvetica" w:eastAsia="Times New Roman" w:hAnsi="Helvetica" w:cs="Times New Roman"/>
            <w:b/>
            <w:bCs/>
            <w:caps/>
            <w:color w:val="EBA700"/>
            <w:spacing w:val="12"/>
            <w:sz w:val="18"/>
            <w:szCs w:val="18"/>
            <w:u w:val="single"/>
            <w:lang w:eastAsia="cs-CZ"/>
          </w:rPr>
          <w:t>SVĚTOVÝ BYZNYS</w:t>
        </w:r>
      </w:hyperlink>
    </w:p>
    <w:p w:rsidR="00C7550F" w:rsidRPr="00C7550F" w:rsidRDefault="00C7550F" w:rsidP="00C7550F">
      <w:pPr>
        <w:spacing w:after="72" w:line="240" w:lineRule="auto"/>
        <w:rPr>
          <w:rFonts w:ascii="Helvetica" w:eastAsia="Times New Roman" w:hAnsi="Helvetica" w:cs="Times New Roman"/>
          <w:i/>
          <w:iCs/>
          <w:color w:val="818181"/>
          <w:sz w:val="18"/>
          <w:szCs w:val="18"/>
          <w:lang w:eastAsia="cs-CZ"/>
        </w:rPr>
      </w:pPr>
      <w:r w:rsidRPr="00C7550F">
        <w:rPr>
          <w:rFonts w:ascii="Helvetica" w:eastAsia="Times New Roman" w:hAnsi="Helvetica" w:cs="Times New Roman"/>
          <w:i/>
          <w:iCs/>
          <w:color w:val="818181"/>
          <w:sz w:val="18"/>
          <w:szCs w:val="18"/>
          <w:lang w:eastAsia="cs-CZ"/>
        </w:rPr>
        <w:t>30. ledna 2019</w:t>
      </w:r>
    </w:p>
    <w:p w:rsidR="00C7550F" w:rsidRPr="00C7550F" w:rsidRDefault="00C7550F" w:rsidP="00C7550F">
      <w:pPr>
        <w:spacing w:after="0" w:line="240" w:lineRule="auto"/>
        <w:jc w:val="both"/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</w:pPr>
      <w:r w:rsidRPr="00C7550F"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  <w:t>Čína je pro globální ekonomiku strašákem číslo jedna a může se stát spouštěčem nové ekonomické krize. Ne běžné recese, která jednou začas musí postihnout každou ekonomiku, ale větších globálních otřesů.</w:t>
      </w:r>
    </w:p>
    <w:p w:rsidR="00C7550F" w:rsidRPr="00C7550F" w:rsidRDefault="00C7550F" w:rsidP="00C7550F">
      <w:pPr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b/>
          <w:bCs/>
          <w:color w:val="4A4A4A"/>
          <w:sz w:val="36"/>
          <w:szCs w:val="36"/>
          <w:lang w:eastAsia="cs-CZ"/>
        </w:rPr>
      </w:pPr>
      <w:r w:rsidRPr="00C7550F">
        <w:rPr>
          <w:rFonts w:ascii="Georgia" w:eastAsia="Times New Roman" w:hAnsi="Georgia" w:cs="Times New Roman"/>
          <w:b/>
          <w:bCs/>
          <w:color w:val="4A4A4A"/>
          <w:sz w:val="36"/>
          <w:szCs w:val="36"/>
          <w:lang w:eastAsia="cs-CZ"/>
        </w:rPr>
        <w:t>Kořeny čínských problémů</w:t>
      </w:r>
    </w:p>
    <w:p w:rsidR="00C7550F" w:rsidRPr="00C7550F" w:rsidRDefault="00C7550F" w:rsidP="00C7550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</w:pPr>
      <w:r w:rsidRPr="00C7550F"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  <w:t>Dnešní problémy Číny nejsou přímým důsledkem obchodní války s USA, jak by možná rád prezentoval Donald Trump. Obchodní přestřelka spíše prohlubuje závažnější domácí problémy čínské ekonomiky. Ty mají původ v rychlém nárůstu zadlužení v posledních 10 letech.</w:t>
      </w:r>
    </w:p>
    <w:p w:rsidR="00C7550F" w:rsidRPr="00C7550F" w:rsidRDefault="00C7550F" w:rsidP="00C7550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</w:pPr>
      <w:r w:rsidRPr="00C7550F"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  <w:t xml:space="preserve">Po pádu investiční banky </w:t>
      </w:r>
      <w:proofErr w:type="spellStart"/>
      <w:r w:rsidRPr="00C7550F"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  <w:t>Lehman</w:t>
      </w:r>
      <w:proofErr w:type="spellEnd"/>
      <w:r w:rsidRPr="00C7550F"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  <w:t xml:space="preserve"> </w:t>
      </w:r>
      <w:proofErr w:type="spellStart"/>
      <w:r w:rsidRPr="00C7550F"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  <w:t>Brothers</w:t>
      </w:r>
      <w:proofErr w:type="spellEnd"/>
      <w:r w:rsidRPr="00C7550F"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  <w:t xml:space="preserve"> hledala Čína, čím nahradit padající zahraniční poptávku. Vydala se cestou masivní podpory investic, které s ochotou financovaly státem ovládané velké banky.</w:t>
      </w:r>
    </w:p>
    <w:p w:rsidR="00C7550F" w:rsidRPr="00C7550F" w:rsidRDefault="00C7550F" w:rsidP="00C7550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</w:pPr>
      <w:r w:rsidRPr="00C7550F"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  <w:t>Od roku 2008 tak vzrostl dluh podniků a domácností o více než 100 procent HDP. Velká část z nich zamířila do realitního sektoru – nejprve developerům (na stavbu) a potom domácnostem (na koupi nemovitostí).</w:t>
      </w:r>
    </w:p>
    <w:p w:rsidR="00C7550F" w:rsidRPr="00C7550F" w:rsidRDefault="00C7550F" w:rsidP="00C7550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</w:pPr>
      <w:r w:rsidRPr="00C7550F"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  <w:t>Rostoucí ceny nemovitostí přitahovaly novou poptávku a současně podporovaly útraty domácností. V Číně se rozjela klasická úvěrová bublina, která nafoukla nejen realitní trh. Řada menších a středních podniků nebo rizikovějších žadatelů časem nedosáhla na úvěry od velkých státem ovládaných bank. Podobně jako před velkou finanční krizí v USA ale kreativní finanční instituce dokázaly regulaci obejít. Řada brokerů a drobných finančních institucí začala poskytovat úvěry rizikovějším hráčům a prodávat je (s o něco lepším výnosem) jako investici velkým bankám. U těch takové investice často končily mimo bilanci.</w:t>
      </w:r>
    </w:p>
    <w:p w:rsidR="00C7550F" w:rsidRPr="00C7550F" w:rsidRDefault="00C7550F" w:rsidP="00C7550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</w:pPr>
      <w:r w:rsidRPr="00C7550F"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  <w:t xml:space="preserve">I v Číně se podobně jako v USA tomuto mechanismu „skrývání se před regulátorem“ začalo říkat stínový finanční systém. První problémy a otřesy zažil čínský finanční systém v roce 2016, kdy </w:t>
      </w:r>
      <w:proofErr w:type="spellStart"/>
      <w:r w:rsidRPr="00C7550F"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  <w:t>nejpředluženější</w:t>
      </w:r>
      <w:proofErr w:type="spellEnd"/>
      <w:r w:rsidRPr="00C7550F"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  <w:t xml:space="preserve"> hráči na trhu již nebyli schopni své dluhy splácet a ze země začal odtékat kapitál.</w:t>
      </w:r>
    </w:p>
    <w:p w:rsidR="00C7550F" w:rsidRPr="00C7550F" w:rsidRDefault="00C7550F" w:rsidP="00C7550F">
      <w:pPr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b/>
          <w:bCs/>
          <w:color w:val="4A4A4A"/>
          <w:sz w:val="36"/>
          <w:szCs w:val="36"/>
          <w:lang w:eastAsia="cs-CZ"/>
        </w:rPr>
      </w:pPr>
      <w:r w:rsidRPr="00C7550F">
        <w:rPr>
          <w:rFonts w:ascii="Georgia" w:eastAsia="Times New Roman" w:hAnsi="Georgia" w:cs="Times New Roman"/>
          <w:b/>
          <w:bCs/>
          <w:color w:val="4A4A4A"/>
          <w:sz w:val="36"/>
          <w:szCs w:val="36"/>
          <w:lang w:eastAsia="cs-CZ"/>
        </w:rPr>
        <w:lastRenderedPageBreak/>
        <w:t>Proč nová podpůrná opatření nefungují?</w:t>
      </w:r>
    </w:p>
    <w:p w:rsidR="00C7550F" w:rsidRPr="00C7550F" w:rsidRDefault="00C7550F" w:rsidP="00C7550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</w:pPr>
      <w:r w:rsidRPr="00C7550F"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  <w:t>Jak Číňané zareagovali? Na jedné straně se snažili domácí poptávku podpořit uvolněnou měnovou a rozpočtovou politikou. Současně ale zahájili rozsáhlé tažení proti stínovému finančnímu systému. To výrazně omezilo účinnost jakýchkoli podpůrných stimulů. Ve finále tak přes veškerou snahu centrální banky úvěrová dynamika neoživla. A jsou to právě nové úvěry, které jsou pro investičně orientované čínské hospodářství klíčové (viz graf níže).</w:t>
      </w:r>
    </w:p>
    <w:p w:rsidR="00C7550F" w:rsidRPr="00C7550F" w:rsidRDefault="00C7550F" w:rsidP="00C7550F">
      <w:pPr>
        <w:spacing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cs-CZ"/>
        </w:rPr>
      </w:pPr>
      <w:r w:rsidRPr="00C7550F">
        <w:rPr>
          <w:rFonts w:ascii="Georgia" w:eastAsia="Times New Roman" w:hAnsi="Georgia" w:cs="Times New Roman"/>
          <w:noProof/>
          <w:color w:val="111111"/>
          <w:sz w:val="24"/>
          <w:szCs w:val="24"/>
          <w:lang w:eastAsia="cs-CZ"/>
        </w:rPr>
        <w:drawing>
          <wp:inline distT="0" distB="0" distL="0" distR="0">
            <wp:extent cx="5760720" cy="3364865"/>
            <wp:effectExtent l="0" t="0" r="0" b="6985"/>
            <wp:docPr id="3" name="Obrázek 3" descr="https://snappycdn.net/forbes-prod/Wsb2SrbjcdcCoDuPP7afP3PgxcMldSw_310IbNirNRk/fit/812/474/ce/1/aHR0cHM6Ly9tZ3dkYXRhLm5ldC9mb3JiZXMvcHJvZC91cGxvYWRzLzIwMTkvMDEvZ3JhZi1jaW5za2UtdXZlcnktYS1pbnZlc3RpY2Uuan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nappycdn.net/forbes-prod/Wsb2SrbjcdcCoDuPP7afP3PgxcMldSw_310IbNirNRk/fit/812/474/ce/1/aHR0cHM6Ly9tZ3dkYXRhLm5ldC9mb3JiZXMvcHJvZC91cGxvYWRzLzIwMTkvMDEvZ3JhZi1jaW5za2UtdXZlcnktYS1pbnZlc3RpY2UuanB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50F" w:rsidRPr="00C7550F" w:rsidRDefault="00C7550F" w:rsidP="00C7550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</w:pPr>
      <w:r w:rsidRPr="00C7550F"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  <w:t>Optimisté říkají, že není třeba dělat z komára velblouda – pokud ekonomika rozumně zpomalí a místo investic převezme otěže spotřeba domácností, může to být jenom dobře. Těžko si ale představit bezbolestný přerod předlužené a přeinvestované ekonomiky na čistě spotřební.</w:t>
      </w:r>
    </w:p>
    <w:p w:rsidR="00C7550F" w:rsidRPr="00C7550F" w:rsidRDefault="00C7550F" w:rsidP="00C7550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</w:pPr>
      <w:r w:rsidRPr="00C7550F"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  <w:t>Čínské investice tvoří skoro polovinu HDP – dvakrát víc, než je u velkých ekonomik běžné. Pokud úvěry a s nimi investice budou dál slábnout, začne investičně orientovaný průmysl propouštět. Tento negativní trend může ve finále přiživit i další eskalace obchodního napětí mezi Čínou a USA.</w:t>
      </w:r>
    </w:p>
    <w:p w:rsidR="00C7550F" w:rsidRPr="00C7550F" w:rsidRDefault="00C7550F" w:rsidP="00C7550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</w:pPr>
      <w:r w:rsidRPr="00C7550F"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  <w:t>Domácnosti mají v Číně malé úspory a jsou na rozdíl od západoevropských nebo amerických více zranitelné vůči poryvům na pracovním trhu. Těžko si proto představit, že padající investice nahradí domácnosti rychlejšími nákupy. Zvlášť když i mezi domácnostmi rostlo v posledních 10 letech zadlužení (z 20 na 50 procent HDP).</w:t>
      </w:r>
    </w:p>
    <w:p w:rsidR="00C7550F" w:rsidRPr="00C7550F" w:rsidRDefault="00C7550F" w:rsidP="00C7550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</w:pPr>
      <w:r w:rsidRPr="00C7550F"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  <w:lastRenderedPageBreak/>
        <w:t>Bohatší střední a vyšší třída je na tom sice o poznání lépe, má ovšem nemalou část úspor v přehřátém realitním trhu, kterému se při dalším poklesu investic asi také nepovede nejlépe.</w:t>
      </w:r>
    </w:p>
    <w:p w:rsidR="00C7550F" w:rsidRPr="00C7550F" w:rsidRDefault="00C7550F" w:rsidP="00C7550F">
      <w:pPr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b/>
          <w:bCs/>
          <w:color w:val="4A4A4A"/>
          <w:sz w:val="36"/>
          <w:szCs w:val="36"/>
          <w:lang w:eastAsia="cs-CZ"/>
        </w:rPr>
      </w:pPr>
      <w:r w:rsidRPr="00C7550F">
        <w:rPr>
          <w:rFonts w:ascii="Georgia" w:eastAsia="Times New Roman" w:hAnsi="Georgia" w:cs="Times New Roman"/>
          <w:b/>
          <w:bCs/>
          <w:color w:val="4A4A4A"/>
          <w:sz w:val="36"/>
          <w:szCs w:val="36"/>
          <w:lang w:eastAsia="cs-CZ"/>
        </w:rPr>
        <w:t>Rozuzlení čínské detektivky</w:t>
      </w:r>
    </w:p>
    <w:p w:rsidR="00C7550F" w:rsidRPr="00C7550F" w:rsidRDefault="00C7550F" w:rsidP="00C7550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</w:pPr>
      <w:r w:rsidRPr="00C7550F"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  <w:t>Čínský příběh tak pravděpodobně nemá dobrý konec. Komunistická strana sice řadu věcí direktivně řídí a ovládá, těžko ale může současně jednou rukou očišťovat finanční sektor a druhou stimulovat naplno ekonomiku.</w:t>
      </w:r>
    </w:p>
    <w:p w:rsidR="00C7550F" w:rsidRPr="00C7550F" w:rsidRDefault="00C7550F" w:rsidP="00C7550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</w:pPr>
      <w:r w:rsidRPr="00C7550F"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  <w:t>Čínu čekají horší časy, ať už se obchodní střet s USA vyvine jakkoli. Otevřená obchodní válka může ale čínské domácí problémy zvýraznit a vést k prudkému sešlápnutí brzdového pedálu. To by byl problém i pro Evropu a Spojené státy.</w:t>
      </w:r>
    </w:p>
    <w:p w:rsidR="00C7550F" w:rsidRPr="00C7550F" w:rsidRDefault="00C7550F" w:rsidP="00C7550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</w:pPr>
      <w:r w:rsidRPr="00C7550F">
        <w:rPr>
          <w:rFonts w:ascii="Georgia" w:eastAsia="Times New Roman" w:hAnsi="Georgia" w:cs="Times New Roman"/>
          <w:b/>
          <w:color w:val="1B1B1B"/>
          <w:sz w:val="27"/>
          <w:szCs w:val="27"/>
          <w:lang w:eastAsia="cs-CZ"/>
        </w:rPr>
        <w:t>Čína je druhou největší ekonomikou na světě</w:t>
      </w:r>
      <w:r w:rsidRPr="00C7550F"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  <w:t xml:space="preserve">, která má více než 15procentní podíl na světovém HDP. Její zpomalování už dnes vidíme v horších německých číslech. Podle našich propočtů by stačilo, aby čínský růst zpomalil na tři procenta, a eurozóna se zastaví. </w:t>
      </w:r>
      <w:r w:rsidRPr="00C7550F">
        <w:rPr>
          <w:rFonts w:ascii="Georgia" w:eastAsia="Times New Roman" w:hAnsi="Georgia" w:cs="Times New Roman"/>
          <w:color w:val="1B1B1B"/>
          <w:sz w:val="27"/>
          <w:szCs w:val="27"/>
          <w:highlight w:val="yellow"/>
          <w:lang w:eastAsia="cs-CZ"/>
        </w:rPr>
        <w:t>A zvlášť nám blízké Německo by na tom bylo špatně</w:t>
      </w:r>
      <w:r w:rsidRPr="00C7550F"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  <w:t xml:space="preserve"> – jak ukazuje simulace níže, je </w:t>
      </w:r>
      <w:r w:rsidRPr="00C7550F">
        <w:rPr>
          <w:rFonts w:ascii="Georgia" w:eastAsia="Times New Roman" w:hAnsi="Georgia" w:cs="Times New Roman"/>
          <w:color w:val="1B1B1B"/>
          <w:sz w:val="27"/>
          <w:szCs w:val="27"/>
          <w:highlight w:val="yellow"/>
          <w:lang w:eastAsia="cs-CZ"/>
        </w:rPr>
        <w:t>vůči propadu čínských dovozů jednou z nejcitlivějších zemí na světě</w:t>
      </w:r>
      <w:r w:rsidRPr="00C7550F">
        <w:rPr>
          <w:rFonts w:ascii="Georgia" w:eastAsia="Times New Roman" w:hAnsi="Georgia" w:cs="Times New Roman"/>
          <w:color w:val="1B1B1B"/>
          <w:sz w:val="27"/>
          <w:szCs w:val="27"/>
          <w:lang w:eastAsia="cs-CZ"/>
        </w:rPr>
        <w:t>.</w:t>
      </w:r>
    </w:p>
    <w:p w:rsidR="00C7550F" w:rsidRPr="00C7550F" w:rsidRDefault="00C7550F" w:rsidP="00C7550F">
      <w:pPr>
        <w:spacing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cs-CZ"/>
        </w:rPr>
      </w:pPr>
      <w:r w:rsidRPr="00C7550F">
        <w:rPr>
          <w:rFonts w:ascii="Georgia" w:eastAsia="Times New Roman" w:hAnsi="Georgia" w:cs="Times New Roman"/>
          <w:noProof/>
          <w:color w:val="111111"/>
          <w:sz w:val="24"/>
          <w:szCs w:val="24"/>
          <w:lang w:eastAsia="cs-CZ"/>
        </w:rPr>
        <w:drawing>
          <wp:inline distT="0" distB="0" distL="0" distR="0">
            <wp:extent cx="5760720" cy="3263900"/>
            <wp:effectExtent l="0" t="0" r="0" b="0"/>
            <wp:docPr id="1" name="Obrázek 1" descr="https://snappycdn.net/forbes-prod/_oIqYqiXNl_K3y06NPgCUYe3asa_GkMdsm_wnYpTspc/fit/818/463/ce/1/aHR0cHM6Ly9tZ3dkYXRhLm5ldC9mb3JiZXMvcHJvZC91cGxvYWRzLzIwMTkvMDEvZ3JhZi1lZmVrdC1wcm9wYWR1LWNpbnNrZS1wb3B0YXZreS5qc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nappycdn.net/forbes-prod/_oIqYqiXNl_K3y06NPgCUYe3asa_GkMdsm_wnYpTspc/fit/818/463/ce/1/aHR0cHM6Ly9tZ3dkYXRhLm5ldC9mb3JiZXMvcHJvZC91cGxvYWRzLzIwMTkvMDEvZ3JhZi1lZmVrdC1wcm9wYWR1LWNpbnNrZS1wb3B0YXZreS5qcG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43E" w:rsidRDefault="00910DA1" w:rsidP="00C7550F">
      <w:pPr>
        <w:jc w:val="both"/>
      </w:pPr>
      <w:r>
        <w:t xml:space="preserve">Zdroj: </w:t>
      </w:r>
      <w:hyperlink r:id="rId11" w:history="1">
        <w:r w:rsidRPr="009E26B4">
          <w:rPr>
            <w:rStyle w:val="Hypertextovodkaz"/>
          </w:rPr>
          <w:t>https://www.forbes.cz/jak-se-cinska-ekonomika-dostala-do-svych-soucasnych-problemu/</w:t>
        </w:r>
      </w:hyperlink>
      <w:r>
        <w:t xml:space="preserve"> </w:t>
      </w:r>
      <w:bookmarkStart w:id="0" w:name="_GoBack"/>
      <w:bookmarkEnd w:id="0"/>
    </w:p>
    <w:sectPr w:rsidR="00977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0F"/>
    <w:rsid w:val="00050DA9"/>
    <w:rsid w:val="003A4510"/>
    <w:rsid w:val="00910DA1"/>
    <w:rsid w:val="00C7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73F8"/>
  <w15:chartTrackingRefBased/>
  <w15:docId w15:val="{20A41DF1-B863-4F4B-BBB1-F74FA04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75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755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7550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7550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texthighlight">
    <w:name w:val="texthighlight"/>
    <w:basedOn w:val="Standardnpsmoodstavce"/>
    <w:rsid w:val="00C7550F"/>
  </w:style>
  <w:style w:type="character" w:styleId="Hypertextovodkaz">
    <w:name w:val="Hyperlink"/>
    <w:basedOn w:val="Standardnpsmoodstavce"/>
    <w:uiPriority w:val="99"/>
    <w:unhideWhenUsed/>
    <w:rsid w:val="00C7550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7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7550F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910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2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1893">
                  <w:marLeft w:val="0"/>
                  <w:marRight w:val="0"/>
                  <w:marTop w:val="2277"/>
                  <w:marBottom w:val="2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6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2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646">
                  <w:marLeft w:val="0"/>
                  <w:marRight w:val="0"/>
                  <w:marTop w:val="0"/>
                  <w:marBottom w:val="0"/>
                  <w:divBdr>
                    <w:top w:val="single" w:sz="6" w:space="6" w:color="E2E2E2"/>
                    <w:left w:val="none" w:sz="0" w:space="0" w:color="auto"/>
                    <w:bottom w:val="single" w:sz="6" w:space="6" w:color="E2E2E2"/>
                    <w:right w:val="none" w:sz="0" w:space="0" w:color="auto"/>
                  </w:divBdr>
                  <w:divsChild>
                    <w:div w:id="2564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345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7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901651">
                          <w:marLeft w:val="0"/>
                          <w:marRight w:val="0"/>
                          <w:marTop w:val="24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8687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8571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3580">
                          <w:marLeft w:val="0"/>
                          <w:marRight w:val="0"/>
                          <w:marTop w:val="24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8677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40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75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071950">
                          <w:marLeft w:val="-240"/>
                          <w:marRight w:val="0"/>
                          <w:marTop w:val="120"/>
                          <w:marBottom w:val="480"/>
                          <w:divBdr>
                            <w:top w:val="single" w:sz="6" w:space="0" w:color="E2E2E2"/>
                            <w:left w:val="none" w:sz="0" w:space="0" w:color="auto"/>
                            <w:bottom w:val="single" w:sz="6" w:space="0" w:color="E2E2E2"/>
                            <w:right w:val="none" w:sz="0" w:space="0" w:color="auto"/>
                          </w:divBdr>
                          <w:divsChild>
                            <w:div w:id="118235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3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98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1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48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5075160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61569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542954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2E2E2"/>
                        <w:left w:val="none" w:sz="0" w:space="0" w:color="auto"/>
                        <w:bottom w:val="single" w:sz="6" w:space="0" w:color="E2E2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bes.cz/tag/svetovy-byzny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orbes.cz/tag/analyz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rbes.cz/autor/janbures/" TargetMode="External"/><Relationship Id="rId11" Type="http://schemas.openxmlformats.org/officeDocument/2006/relationships/hyperlink" Target="https://www.forbes.cz/jak-se-cinska-ekonomika-dostala-do-svych-soucasnych-problemu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hyperlink" Target="https://www.forbes.cz/autor/janbures/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677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Grzincic</dc:creator>
  <cp:keywords/>
  <dc:description/>
  <cp:lastModifiedBy>Marko Grzincic</cp:lastModifiedBy>
  <cp:revision>2</cp:revision>
  <dcterms:created xsi:type="dcterms:W3CDTF">2019-02-04T08:43:00Z</dcterms:created>
  <dcterms:modified xsi:type="dcterms:W3CDTF">2019-02-04T08:47:00Z</dcterms:modified>
</cp:coreProperties>
</file>